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9DF80" w14:textId="77777777" w:rsidR="001208D8" w:rsidRPr="001208D8" w:rsidRDefault="00420084" w:rsidP="001208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8D8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1208D8" w:rsidRPr="0012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14:paraId="565003B2" w14:textId="77777777" w:rsidR="001208D8" w:rsidRPr="001208D8" w:rsidRDefault="001208D8" w:rsidP="00420084">
      <w:pPr>
        <w:shd w:val="clear" w:color="auto" w:fill="FFFFFF"/>
        <w:spacing w:before="2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 СПЕЦИФИКАЦИ</w:t>
      </w:r>
      <w:r w:rsidR="00020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6AAA778" w14:textId="77777777" w:rsidR="00692BD9" w:rsidRPr="00C572BB" w:rsidRDefault="00692BD9" w:rsidP="0042008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77E55" w14:textId="77777777" w:rsidR="00CC6543" w:rsidRPr="00C572BB" w:rsidRDefault="00CC6543" w:rsidP="0042008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25">
        <w:rPr>
          <w:rFonts w:ascii="Times New Roman" w:hAnsi="Times New Roman" w:cs="Times New Roman"/>
          <w:b/>
          <w:sz w:val="24"/>
          <w:szCs w:val="24"/>
        </w:rPr>
        <w:t>1.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14:paraId="2AE6779E" w14:textId="77777777" w:rsidR="00CC6543" w:rsidRPr="00C572BB" w:rsidRDefault="00CC6543" w:rsidP="004200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1.1.</w:t>
      </w:r>
      <w:r w:rsidRPr="00C572BB">
        <w:rPr>
          <w:rFonts w:ascii="Times New Roman" w:hAnsi="Times New Roman" w:cs="Times New Roman"/>
          <w:sz w:val="24"/>
          <w:szCs w:val="24"/>
        </w:rPr>
        <w:tab/>
        <w:t>Възложител Община Панагюрище</w:t>
      </w:r>
    </w:p>
    <w:p w14:paraId="6687C23C" w14:textId="77777777" w:rsidR="00CC6543" w:rsidRPr="00C572BB" w:rsidRDefault="00CC6543" w:rsidP="004200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1.2.</w:t>
      </w:r>
      <w:r w:rsidRPr="00C572BB">
        <w:rPr>
          <w:rFonts w:ascii="Times New Roman" w:hAnsi="Times New Roman" w:cs="Times New Roman"/>
          <w:sz w:val="24"/>
          <w:szCs w:val="24"/>
        </w:rPr>
        <w:tab/>
        <w:t>Място на изпълнението</w:t>
      </w:r>
    </w:p>
    <w:p w14:paraId="01336FD6" w14:textId="77777777" w:rsidR="00CC6543" w:rsidRPr="00C572BB" w:rsidRDefault="00CC6543" w:rsidP="004200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Предметът на процедурата касае изпълнение на дейности на територията на град Панагюрище. Някои от видовете работи </w:t>
      </w:r>
      <w:r w:rsidR="00FC00F0">
        <w:rPr>
          <w:rFonts w:ascii="Times New Roman" w:hAnsi="Times New Roman" w:cs="Times New Roman"/>
          <w:sz w:val="24"/>
          <w:szCs w:val="24"/>
        </w:rPr>
        <w:t>ще</w:t>
      </w:r>
      <w:r w:rsidRPr="00C572BB">
        <w:rPr>
          <w:rFonts w:ascii="Times New Roman" w:hAnsi="Times New Roman" w:cs="Times New Roman"/>
          <w:sz w:val="24"/>
          <w:szCs w:val="24"/>
        </w:rPr>
        <w:t xml:space="preserve"> се извършват в офиса на изпълнителя или на друго място, ако това е целесъобразно или се налага от спецификата на изпълнение на съответния вид дейност.</w:t>
      </w:r>
    </w:p>
    <w:p w14:paraId="2D5617C5" w14:textId="77777777" w:rsidR="00020301" w:rsidRPr="00020301" w:rsidRDefault="00020301" w:rsidP="00420084">
      <w:pPr>
        <w:pStyle w:val="a3"/>
        <w:keepNext/>
        <w:numPr>
          <w:ilvl w:val="0"/>
          <w:numId w:val="22"/>
        </w:numPr>
        <w:tabs>
          <w:tab w:val="left" w:pos="142"/>
          <w:tab w:val="left" w:pos="284"/>
          <w:tab w:val="left" w:pos="993"/>
        </w:tabs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bg-BG"/>
        </w:rPr>
      </w:pPr>
      <w:bookmarkStart w:id="0" w:name="_Toc329087311"/>
      <w:r w:rsidRPr="000203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bg-BG"/>
        </w:rPr>
        <w:t>Финансиращ орган</w:t>
      </w:r>
    </w:p>
    <w:p w14:paraId="5ADAAECB" w14:textId="77777777" w:rsidR="00D562FD" w:rsidRPr="00D562FD" w:rsidRDefault="00D562FD" w:rsidP="00420084">
      <w:pPr>
        <w:tabs>
          <w:tab w:val="left" w:pos="142"/>
          <w:tab w:val="left" w:pos="284"/>
        </w:tabs>
        <w:spacing w:before="120" w:after="12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562FD">
        <w:rPr>
          <w:rFonts w:ascii="Times New Roman" w:eastAsia="Calibri" w:hAnsi="Times New Roman" w:cs="Times New Roman"/>
          <w:sz w:val="24"/>
          <w:szCs w:val="24"/>
        </w:rPr>
        <w:t>Финансирането на дейностите по настоящата обществена поръчка е със средства, предоставени по Оперативна програма „Региони в растеж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D562FD">
        <w:rPr>
          <w:rFonts w:ascii="Times New Roman" w:eastAsia="Calibri" w:hAnsi="Times New Roman" w:cs="Times New Roman"/>
          <w:sz w:val="24"/>
          <w:szCs w:val="24"/>
        </w:rPr>
        <w:t xml:space="preserve"> 2014-2020г., услугата, предмет на възлагане на настоящата поръчка, е дейност за изпълнение от проект: №</w:t>
      </w:r>
      <w:r w:rsidR="00FC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2FD">
        <w:rPr>
          <w:rFonts w:ascii="Times New Roman" w:eastAsia="Calibri" w:hAnsi="Times New Roman" w:cs="Times New Roman"/>
          <w:sz w:val="24"/>
          <w:szCs w:val="24"/>
        </w:rPr>
        <w:t>BG16RFOP001-1.039-0004, за който е сключен Административен договор за предоставяне на безвъзмездна финансова помощ №</w:t>
      </w:r>
      <w:r w:rsidR="00FC0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0F0" w:rsidRPr="00D562FD">
        <w:rPr>
          <w:rFonts w:ascii="Times New Roman" w:eastAsia="Calibri" w:hAnsi="Times New Roman" w:cs="Times New Roman"/>
          <w:sz w:val="24"/>
          <w:szCs w:val="24"/>
        </w:rPr>
        <w:t xml:space="preserve">ИСУН </w:t>
      </w:r>
      <w:r w:rsidRPr="00D562FD">
        <w:rPr>
          <w:rFonts w:ascii="Times New Roman" w:eastAsia="Calibri" w:hAnsi="Times New Roman" w:cs="Times New Roman"/>
          <w:sz w:val="24"/>
          <w:szCs w:val="24"/>
        </w:rPr>
        <w:t>BG16RFOP001-1.039-0004-С01, между община Панагюрище и Министерството на регионалното развитие и благоустройството в ролята му на Управляващ орган на Оперативна програма „Региони в растеж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D562FD">
        <w:rPr>
          <w:rFonts w:ascii="Times New Roman" w:eastAsia="Calibri" w:hAnsi="Times New Roman" w:cs="Times New Roman"/>
          <w:sz w:val="24"/>
          <w:szCs w:val="24"/>
        </w:rPr>
        <w:t xml:space="preserve"> 2014-2020г.. </w:t>
      </w:r>
    </w:p>
    <w:p w14:paraId="12707901" w14:textId="77777777" w:rsidR="00020301" w:rsidRPr="00020301" w:rsidRDefault="00FC00F0" w:rsidP="00FC00F0">
      <w:pPr>
        <w:tabs>
          <w:tab w:val="left" w:pos="0"/>
        </w:tabs>
        <w:spacing w:before="120" w:after="12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62FD" w:rsidRPr="00D562FD">
        <w:rPr>
          <w:rFonts w:ascii="Times New Roman" w:eastAsia="Calibri" w:hAnsi="Times New Roman" w:cs="Times New Roman"/>
          <w:sz w:val="24"/>
          <w:szCs w:val="24"/>
        </w:rPr>
        <w:t>Изпълнението на предмета на поръчката цели да се информира широката общественост за целите, дейностите, резултатите и ползите от проекта, както и да се оповести финансовото участие на Европейския съюз (ЕС) в проекта - получена финансова подкрепа от Европейския фонд за регионално развитие (ЕФРР) чрез Оперативна програма "Региони в растеж" 2014-2020 г.</w:t>
      </w:r>
    </w:p>
    <w:p w14:paraId="7FDECFA9" w14:textId="77777777" w:rsidR="00020301" w:rsidRPr="00F32BFC" w:rsidRDefault="00020301" w:rsidP="00420084">
      <w:pPr>
        <w:pStyle w:val="a3"/>
        <w:keepNext/>
        <w:numPr>
          <w:ilvl w:val="0"/>
          <w:numId w:val="22"/>
        </w:numPr>
        <w:tabs>
          <w:tab w:val="left" w:pos="142"/>
          <w:tab w:val="left" w:pos="284"/>
          <w:tab w:val="left" w:pos="709"/>
        </w:tabs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F32BFC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Обща информация за проекта</w:t>
      </w:r>
      <w:bookmarkEnd w:id="0"/>
    </w:p>
    <w:p w14:paraId="21D17E5B" w14:textId="77777777" w:rsidR="00D562FD" w:rsidRPr="00D562FD" w:rsidRDefault="00D562FD" w:rsidP="00FC0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76" w:lineRule="auto"/>
        <w:ind w:firstLine="709"/>
        <w:jc w:val="both"/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</w:pPr>
      <w:bookmarkStart w:id="1" w:name="_Toc329087312"/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Проектното предложение е насочено към повишаване на енергийната ефективност и удължаване на жизнения цикъл на многофамилни жилищни сгради в град Панагюрище. Проектът предвижда обновяване и внедряване на мерки за енергийна ефективност в многофамилни жилищни сгради на територията на град Панагюрище и обхваща</w:t>
      </w:r>
      <w:r w:rsidR="00305425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:</w:t>
      </w:r>
    </w:p>
    <w:p w14:paraId="7CE93B8D" w14:textId="77777777" w:rsidR="00305425" w:rsidRDefault="00305425" w:rsidP="0042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76" w:lineRule="auto"/>
        <w:jc w:val="both"/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</w:pP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1. 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Многофамилни жилищни сгради с идентификатори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-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55302.501.4600.1. 55302.501.4600.2 и 55302.501.4600.3 - ул.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„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Георги Бенковски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“, № 96, бл. 6, ул. „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Делчо Спасов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“ 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бл.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7 и бл.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8;</w:t>
      </w:r>
    </w:p>
    <w:p w14:paraId="1A9E8FE7" w14:textId="77777777" w:rsidR="00D562FD" w:rsidRPr="00D562FD" w:rsidRDefault="00305425" w:rsidP="0042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76" w:lineRule="auto"/>
        <w:jc w:val="both"/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</w:pP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2. 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Многофамилни жилищни сгради с идентификатори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- 55302.5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01.4328.1 и 55302.501.4329.1, ул. 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„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Олга </w:t>
      </w:r>
      <w:proofErr w:type="spellStart"/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Брадестилова</w:t>
      </w:r>
      <w:proofErr w:type="spellEnd"/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“ </w:t>
      </w:r>
      <w:r w:rsidR="00D562FD"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№18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.</w:t>
      </w:r>
    </w:p>
    <w:p w14:paraId="5003582D" w14:textId="77777777" w:rsidR="00D562FD" w:rsidRPr="00D562FD" w:rsidRDefault="00D562FD" w:rsidP="0042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76" w:lineRule="auto"/>
        <w:ind w:firstLine="851"/>
        <w:jc w:val="both"/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</w:pP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lastRenderedPageBreak/>
        <w:t>На база предварително разработени технически паспорт, архитектурно заснемане и техническо обследване и обследване за енергийна ефективност и издадени сертификати на сградите се предвижда да бъдат изготвени инвестиционни проекти въз основа на които ще се извършат строително монтажни работи.</w:t>
      </w:r>
      <w:r w:rsidR="00305425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</w:t>
      </w: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В проектното предложение са заложени дейности чрез които да се осигури повишаване на енергийните характеристики на сградите, намаляване на разходите за енергия, подобряване на цялостния облик, създаване на по-добри условия за живот и топлинен комфорт на гражданите на гр.</w:t>
      </w:r>
      <w:r w:rsidR="00FC00F0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</w:t>
      </w: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Панагюрище.</w:t>
      </w:r>
      <w:r w:rsidR="00305425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</w:t>
      </w: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Инвестициите в мерките за енергийна ефективност, освен енергоспестяващия ефект косвено ще допр</w:t>
      </w:r>
      <w:r w:rsidR="00FC00F0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и</w:t>
      </w: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несе за намаляване на парниковите газове.</w:t>
      </w:r>
    </w:p>
    <w:p w14:paraId="2B5A8639" w14:textId="77777777" w:rsidR="00F32BFC" w:rsidRPr="00D562FD" w:rsidRDefault="00D562FD" w:rsidP="0042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76" w:lineRule="auto"/>
        <w:ind w:firstLine="851"/>
        <w:jc w:val="both"/>
        <w:rPr>
          <w:rFonts w:ascii="Roboto" w:eastAsia="Times New Roman" w:hAnsi="Roboto" w:cs="Courier New"/>
          <w:color w:val="000000" w:themeColor="text1"/>
          <w:sz w:val="24"/>
          <w:szCs w:val="24"/>
          <w:lang w:eastAsia="bg-BG"/>
        </w:rPr>
      </w:pP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Обща цел на проектното предложение повишаване на енергийната ефективност на многофамилни жилищни сгради на територията на град Панагюрище.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</w:t>
      </w: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С реализацията на проекта ще се изпълнят мерки за енергийна ефективност</w:t>
      </w:r>
      <w:r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,</w:t>
      </w: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с които ще се удължи жизненият цикъл на сградите, ще се осигурят по - добри условия на живот и по-висок топлинен комфорт. Проектното предложение ще допринесе за устойчиво развитие на гр. Панагюрище, чрез инвестиране и осигуряване на високо ниво на енергийна ефективност в многофамилните жилищни сгради. Осъвременяването на жилищните сгради чрез въвеждане на мерки за енергийна ефективност ще доведе до подобряване на микроклимата и съответно условията на живот</w:t>
      </w:r>
      <w:r w:rsidR="00FC00F0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>.</w:t>
      </w:r>
      <w:r w:rsidRPr="00D562FD">
        <w:rPr>
          <w:rFonts w:ascii="Roboto" w:eastAsia="Times New Roman" w:hAnsi="Roboto" w:cs="Courier New"/>
          <w:color w:val="000000" w:themeColor="text1"/>
          <w:sz w:val="24"/>
          <w:szCs w:val="24"/>
          <w:lang w:eastAsia="bg-BG" w:bidi="bg-BG"/>
        </w:rPr>
        <w:t xml:space="preserve"> След извършване на дейностите се очаква понижение на отделните вредни емисии С02 в околната среда. Като цяло в дългосрочен план ще се окаже положително влияние върху общия екологичен фонд.</w:t>
      </w:r>
    </w:p>
    <w:p w14:paraId="4ADC044F" w14:textId="77777777" w:rsid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Toc329087314"/>
      <w:bookmarkEnd w:id="1"/>
    </w:p>
    <w:p w14:paraId="759E2F1A" w14:textId="77777777" w:rsidR="00305425" w:rsidRP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Предмет и цели на обществената поръчка</w:t>
      </w:r>
    </w:p>
    <w:p w14:paraId="5081E192" w14:textId="77777777" w:rsidR="00305425" w:rsidRP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Предметът на обществената поръчка е </w:t>
      </w:r>
      <w:r w:rsidR="005A5CE2" w:rsidRPr="005A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bg-BG"/>
        </w:rPr>
        <w:t>„Изпълнение на мерки за информация и комуникация по проект „Обновяване и внедряване на мерки за енергийна ефективност в многофамилни жилищни сгради“</w:t>
      </w: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1B771E3" w14:textId="77777777" w:rsidR="00305425" w:rsidRP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8CEC2" w14:textId="77777777" w:rsidR="00305425" w:rsidRP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Toc278529393"/>
      <w:bookmarkStart w:id="4" w:name="_Toc190072740"/>
      <w:r w:rsidRPr="00305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5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 цел</w:t>
      </w:r>
      <w:bookmarkEnd w:id="3"/>
      <w:bookmarkEnd w:id="4"/>
    </w:p>
    <w:p w14:paraId="2240B248" w14:textId="77777777" w:rsidR="00305425" w:rsidRP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Основната цел на поръчката е:</w:t>
      </w:r>
      <w:bookmarkStart w:id="5" w:name="_Toc278529394"/>
      <w:bookmarkStart w:id="6" w:name="_Toc190072741"/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Осигуряване на информираност и публичност на обществеността за изпълнение</w:t>
      </w:r>
      <w:r w:rsid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то</w:t>
      </w: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проектните дейности.</w:t>
      </w:r>
    </w:p>
    <w:p w14:paraId="27044AC6" w14:textId="77777777" w:rsidR="00305425" w:rsidRP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B566DE" w14:textId="77777777" w:rsidR="00305425" w:rsidRPr="00305425" w:rsidRDefault="00305425" w:rsidP="00420084">
      <w:pPr>
        <w:numPr>
          <w:ilvl w:val="1"/>
          <w:numId w:val="25"/>
        </w:numPr>
        <w:tabs>
          <w:tab w:val="num" w:pos="0"/>
          <w:tab w:val="num" w:pos="709"/>
          <w:tab w:val="num" w:pos="100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Специфични цели</w:t>
      </w:r>
      <w:bookmarkEnd w:id="5"/>
      <w:bookmarkEnd w:id="6"/>
    </w:p>
    <w:p w14:paraId="4C3843CA" w14:textId="77777777" w:rsidR="00305425" w:rsidRP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Предвид значителната продължителност на основните дейности по проекта, както и ключовото значение на информираността, трябва да се обърне особено внимание на следните специфични цели:</w:t>
      </w:r>
    </w:p>
    <w:p w14:paraId="258D80DD" w14:textId="77777777" w:rsidR="00305425" w:rsidRPr="00305425" w:rsidRDefault="00305425" w:rsidP="00420084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Спазване изискванията на Единия наръчник на бенефициента за прилагане на правилата за информация и комуникация 2014-2020 г.; със съответните правила за информиране, комуникация и реклама, предвидени в чл.115 § 4 от Регламент 1303/2013 г. и в чл.3, чл.4, чл.5 и Приложение ІІ от Регламент за изпълнение (ЕС) № 821/2014 на Комисията; </w:t>
      </w:r>
    </w:p>
    <w:p w14:paraId="40956804" w14:textId="77777777" w:rsidR="00305425" w:rsidRPr="00305425" w:rsidRDefault="00305425" w:rsidP="00420084">
      <w:pPr>
        <w:numPr>
          <w:ilvl w:val="0"/>
          <w:numId w:val="26"/>
        </w:numPr>
        <w:tabs>
          <w:tab w:val="num" w:pos="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Привличане и повишаване на обществения интерес към проекта;</w:t>
      </w:r>
    </w:p>
    <w:p w14:paraId="3EC4311A" w14:textId="77777777" w:rsidR="00305425" w:rsidRPr="00305425" w:rsidRDefault="00305425" w:rsidP="00420084">
      <w:pPr>
        <w:numPr>
          <w:ilvl w:val="0"/>
          <w:numId w:val="26"/>
        </w:numPr>
        <w:tabs>
          <w:tab w:val="num" w:pos="0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информация и публичност на широката общественост за осъществените дейности и постигнатите резултати по проекта;</w:t>
      </w:r>
    </w:p>
    <w:p w14:paraId="079C8F83" w14:textId="77777777" w:rsidR="00305425" w:rsidRPr="00305425" w:rsidRDefault="00305425" w:rsidP="00420084">
      <w:pPr>
        <w:tabs>
          <w:tab w:val="num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3A38A2" w14:textId="77777777" w:rsidR="00305425" w:rsidRPr="00305425" w:rsidRDefault="00305425" w:rsidP="00420084">
      <w:pPr>
        <w:numPr>
          <w:ilvl w:val="0"/>
          <w:numId w:val="25"/>
        </w:numPr>
        <w:tabs>
          <w:tab w:val="num" w:pos="0"/>
          <w:tab w:val="num" w:pos="709"/>
          <w:tab w:val="num" w:pos="993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Toc278529395"/>
      <w:r w:rsidRPr="00305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4.3.</w:t>
      </w: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7"/>
      <w:r w:rsidRPr="00305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Обхват и параметри на обществената поръчка</w:t>
      </w:r>
    </w:p>
    <w:p w14:paraId="009B607E" w14:textId="77777777" w:rsidR="00305425" w:rsidRDefault="00305425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4.3.1.</w:t>
      </w:r>
      <w:r w:rsidRPr="003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обхвата на обществената поръчка се включват следните дейности:</w:t>
      </w:r>
      <w:r w:rsidRPr="003054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3D179BE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Публикуване на информация за проекта на уеб-сайта на Община Панагюрище след подписването на Договор за безвъзмездна финансова помощ, включваща целите на проекта, дейностите и резултатите, като откроява финансовата подкрепа на Европейския съюз</w:t>
      </w:r>
      <w:r w:rsidR="00FC00F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което е задължение на възложителя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6386229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Изработване на информационен банер - 1 брой .</w:t>
      </w:r>
    </w:p>
    <w:p w14:paraId="6C1AB906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Публични събития – 2 бр. пресконференция за старта на проекта и пресконференция за приключване на проекта;</w:t>
      </w:r>
    </w:p>
    <w:p w14:paraId="58391E61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Официални церемонии - „Първа копка“ и откриване на обекта;</w:t>
      </w:r>
    </w:p>
    <w:p w14:paraId="224F4B2D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Изготвяне и публикуване на информация на сайта на община Панагюрище</w:t>
      </w:r>
      <w:r w:rsidR="00FC00F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C00F0" w:rsidRPr="00FC0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което е задължение на възложителя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5703D251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Поставяне на 2 бр. постоянни обяснителни табели с размери 50х70 см на видно място в близост до обектите, достъпно за широката общественост;</w:t>
      </w:r>
    </w:p>
    <w:p w14:paraId="48A84684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Изработване на информационни материали – </w:t>
      </w:r>
      <w:proofErr w:type="spellStart"/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дипляни</w:t>
      </w:r>
      <w:proofErr w:type="spellEnd"/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, флаш-памет, химикал, папка с листа – 100 комплекта;</w:t>
      </w:r>
    </w:p>
    <w:p w14:paraId="7AA60EAA" w14:textId="77777777" w:rsidR="005A5CE2" w:rsidRPr="005A5CE2" w:rsidRDefault="005A5CE2" w:rsidP="00420084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Изработване и монтиране на билборд - 1 бр. с размери 4х3м в близост до обекта.</w:t>
      </w:r>
    </w:p>
    <w:p w14:paraId="4F8D925B" w14:textId="77777777" w:rsidR="005A5CE2" w:rsidRPr="005A5CE2" w:rsidRDefault="005A5CE2" w:rsidP="00420084">
      <w:pPr>
        <w:tabs>
          <w:tab w:val="num" w:pos="70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5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4.3.2. Параметри: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6663"/>
      </w:tblGrid>
      <w:tr w:rsidR="005A5CE2" w:rsidRPr="005A5CE2" w14:paraId="68FA0C8B" w14:textId="77777777" w:rsidTr="00942ED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5349DFB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E9D4F65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03FBABCA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Параметри</w:t>
            </w:r>
          </w:p>
        </w:tc>
      </w:tr>
      <w:tr w:rsidR="005A5CE2" w:rsidRPr="005A5CE2" w14:paraId="779B4237" w14:textId="77777777" w:rsidTr="00942ED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0181F" w14:textId="77777777" w:rsidR="005A5CE2" w:rsidRPr="005A5CE2" w:rsidRDefault="005A5CE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A3F1E" w14:textId="77777777" w:rsidR="005A5CE2" w:rsidRPr="005A5CE2" w:rsidRDefault="005A5CE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44447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изработка и доставка преносим информационен банер</w:t>
            </w:r>
          </w:p>
          <w:p w14:paraId="14BC44AB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размер 120 х 180 см;</w:t>
            </w:r>
          </w:p>
          <w:p w14:paraId="15A304AD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печат: дигитален широкоформатен, пълноцветен, върху винил, едностранно;</w:t>
            </w:r>
          </w:p>
          <w:p w14:paraId="29F72F4D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олекотена преносима сглобяема стойка с калъф за пренасяне;</w:t>
            </w:r>
          </w:p>
          <w:p w14:paraId="0ADE5745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върху банера трябва да бъде записана информация посочена в „Единия наръчник на бенефициента за прилагане на правилата за информация и комуникация 2014-2020 г.“.</w:t>
            </w:r>
          </w:p>
          <w:p w14:paraId="0EC6B1AF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Забележка: </w:t>
            </w:r>
            <w:r w:rsidRPr="005A5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Съдържанието и дизайнът на банера се съгласуват предварително с Възложителя. Изпълнителят трябва да изготви проект на дизайн на банера и да го представи на Възложителя за одобрение. Възложителят има право да предлага, проверява и коригира текстовото съдържание и дизайна на банера по време на неговото разработване до окончателното му приемане.</w:t>
            </w:r>
          </w:p>
        </w:tc>
      </w:tr>
      <w:tr w:rsidR="000D1A62" w:rsidRPr="005A5CE2" w14:paraId="13506ACE" w14:textId="77777777" w:rsidTr="00942ED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8284D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Публични събития/ Пресконференции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ED03D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4320B" w14:textId="3E322726" w:rsidR="00A5499D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Встъпителна пресконференция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В рамките на началната пресконференция ще бъде анонсиран старта на проекта. Ще бъде представена презентация с резюме на проекта, целите,  основните дейности по проекта и очакваните резултати, както и план-графика за изпълнение на дейностите. Пресконференция ще се организира за минимум 30 участника и представители на медиите. За пресконференция изпълнителят следва да подготви зала, да осигури озвучаване и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мултимедия с екран за презентиране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както и да организира кетъринг за минимум 30 човека</w:t>
            </w:r>
            <w:r w:rsid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5499D" w:rsidRP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(студени солени предястия/сандвичи/хапки (месни, рибни и безмесни), дребни сладки хапки/</w:t>
            </w:r>
            <w:proofErr w:type="spellStart"/>
            <w:r w:rsidR="00A5499D" w:rsidRP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петифури</w:t>
            </w:r>
            <w:proofErr w:type="spellEnd"/>
            <w:r w:rsidR="00A5499D" w:rsidRP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плодове, минерална вода, безалкохолни напитки, вино (бяло и червено), включително обезпечаване с прибори и посуда, обслужващ персонал, украса, цветна аранжировка и др.);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DC78BD3" w14:textId="077D10BB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залата, където ще се проведе пресконференцията трябва да бъдат поставени на подходящо място информационен банер, ко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 да информира за наименованието на проекта, общия бюджет, стойността на помощта от ЕС чрез съответния фонд и съфинансиране от държавния бюджет. Трябва да бъдат поставени знамената на Европейския съюз, Република България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Панагюрище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 време на пресконференцията изпълнителят ще раздаде на всички участници разпечатка на 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изготвената от него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проек</w:t>
            </w:r>
            <w:r w:rsid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B4C0B6B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Изпълнителят има ангажимент да подготви и изпрати покани до всички участници в пресконференцията (съгласувано с Възложителя) и да оповести най-малко 1 седмица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варително на уеб-страницата на о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бщина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анагюрище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 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 една местна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предстоящото събитие.</w:t>
            </w:r>
          </w:p>
          <w:p w14:paraId="48E56413" w14:textId="77777777" w:rsidR="00A5499D" w:rsidRDefault="000D1A62" w:rsidP="009A290E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Заключителна пресконференция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В края на изпълнението на проекта ще бъде организирана пресконференция. Тази пресконференция има за цел да оповести резултатите от изпълнението на проекта, както и информация относно очаквани резултати.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ресконференцията ще се организира за минимум 30 участника и представители на медиите. За пресконференцията изпълнителят следва да подготви зала, да осигури озвучаване и мултимедия с екран за презентиране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както и кетъринг за минимум 30 човека</w:t>
            </w:r>
            <w:r w:rsid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5499D" w:rsidRP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(студени солени предястия/сандвичи/хапки (месни, рибни и безмесни), дребни сладки хапки/</w:t>
            </w:r>
            <w:proofErr w:type="spellStart"/>
            <w:r w:rsidR="00A5499D" w:rsidRP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петифури</w:t>
            </w:r>
            <w:proofErr w:type="spellEnd"/>
            <w:r w:rsidR="00A5499D" w:rsidRP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плодове, минерална вода, безалкохолни напитки, вино (бяло и червено), включително обезпечаване с прибори и посуда, обслужващ персонал, украса, цветна аранжировка и др.);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2F5F0C0C" w14:textId="6138536D" w:rsidR="000D1A62" w:rsidRPr="005A5CE2" w:rsidRDefault="000D1A62" w:rsidP="009A290E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залата, където ще се проведе пресконференцията трябва да бъд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поставен на подходящо място 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банер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 да информира за наименованието на проекта, общия бюджет, стойността на помощта от ЕС чрез съответния фонд и съфинансиране от държавния бюджет. Трябва да бъдат поставени знамената на Европейския съюз, Република България и община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анагюрище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 време на пресконференцията изпълнителят ще раздаде на всички участници 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информационни материали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дипляна</w:t>
            </w:r>
            <w:proofErr w:type="spellEnd"/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флаш памет, химикалка и папка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C5DEBB8" w14:textId="77777777" w:rsidR="00FC00F0" w:rsidRPr="005A5CE2" w:rsidRDefault="000D1A62" w:rsidP="00FC00F0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Изпълнителят има ангажимент да подготви и изпрати покани до всички участници в пресконференцията (съгласувано с Възложителя) и да оповести най-малко 1 седмица предварително на уеб-страницата на община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анагюрище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="00FC00F0"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 една местна </w:t>
            </w:r>
            <w:r w:rsidR="00FC00F0"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</w:t>
            </w:r>
            <w:r w:rsidR="00FC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FC00F0"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предстоящото събитие.</w:t>
            </w:r>
          </w:p>
          <w:p w14:paraId="6A28D6FF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Относимо за двете събития:</w:t>
            </w:r>
          </w:p>
          <w:p w14:paraId="3BCCD6DE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осигуряване на мултимедия, зала, екран и озвучаване;</w:t>
            </w:r>
          </w:p>
          <w:p w14:paraId="3C5BE182" w14:textId="58A147B8" w:rsidR="00FC00F0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осигуряване на кетъринг</w:t>
            </w:r>
            <w:r w:rsidR="009A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минимум 30 човека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BE7106B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осигуряване и монтиране на банер;</w:t>
            </w:r>
          </w:p>
          <w:p w14:paraId="5A6DAAB1" w14:textId="77777777" w:rsidR="000D1A6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осигуряване на писмена покана по зададен списък с участниците, снимков материал.</w:t>
            </w:r>
          </w:p>
          <w:p w14:paraId="3C3A2FA1" w14:textId="77777777" w:rsidR="000D1A6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п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убличните събития </w:t>
            </w:r>
            <w:r w:rsidR="009A2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да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 бъдат предварително анонсирани чрез съобщение на интернет страницата на общината и съобщения в </w:t>
            </w:r>
            <w:r w:rsidR="009A2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поне една 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местн</w:t>
            </w:r>
            <w:r w:rsidR="009A2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а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 </w:t>
            </w:r>
            <w:r w:rsidR="009A2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медия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.</w:t>
            </w:r>
          </w:p>
          <w:p w14:paraId="1F41F979" w14:textId="77777777" w:rsidR="009A290E" w:rsidRPr="005A5CE2" w:rsidRDefault="009A290E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- осигуряване на презентация за встъпителната пресконференция и промоционални материали за заключителната за минимум 30 участника.</w:t>
            </w:r>
          </w:p>
          <w:p w14:paraId="410C6376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Забележка: </w:t>
            </w:r>
            <w:r w:rsidRPr="005A5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Възложителят има право да предлага, проверява и коригира текстовото съдържание и дизайна на всички изготвени материали по време на тяхното разработване до окончателното им приемане.</w:t>
            </w:r>
          </w:p>
        </w:tc>
      </w:tr>
      <w:tr w:rsidR="000D1A62" w:rsidRPr="005A5CE2" w14:paraId="2F627A5D" w14:textId="77777777" w:rsidTr="00942ED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E1883" w14:textId="64295791" w:rsidR="000D1A6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Официалн</w:t>
            </w:r>
            <w:r w:rsid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церемони</w:t>
            </w:r>
            <w:r w:rsid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  <w:p w14:paraId="109F0B7F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B990" w14:textId="79C549A8" w:rsidR="000D1A62" w:rsidRPr="005A5CE2" w:rsidRDefault="00A5499D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3AC84" w14:textId="15D47464" w:rsidR="000D1A62" w:rsidRPr="005A5CE2" w:rsidRDefault="000D1A62" w:rsidP="00CE00A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Предвижда се провеждането на </w:t>
            </w:r>
            <w:r w:rsidR="000879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официалн</w:t>
            </w:r>
            <w:r w:rsidR="000879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Pr="00A7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bg-BG"/>
              </w:rPr>
              <w:t>„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Първа копка“ </w:t>
            </w:r>
            <w:r w:rsidR="0008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 и  „О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ткриване на обекта</w:t>
            </w:r>
            <w:r w:rsidR="0008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“.</w:t>
            </w:r>
          </w:p>
          <w:p w14:paraId="373E30AD" w14:textId="77777777" w:rsidR="000D1A62" w:rsidRPr="005A5CE2" w:rsidRDefault="000D1A62" w:rsidP="00CE00A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Изпълнителят е длъжен да изготви и представи на Възложителя 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ценарий за провеждане на официалната церемония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роект за предварително анонсиран</w:t>
            </w:r>
            <w:r w:rsidR="00CE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е</w:t>
            </w:r>
            <w:r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 чрез съобщение на интернет страницата на общината и/или съобщения в местните средства за масово осведомяване</w:t>
            </w:r>
            <w:r w:rsidR="00CE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 xml:space="preserve"> и п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роект на 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окана към официалните лица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7DE25D3" w14:textId="0A633E4F" w:rsidR="000D1A62" w:rsidRPr="005A5CE2" w:rsidRDefault="00CE00A2" w:rsidP="00CE00A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Изпълнителят следва да организира ф</w:t>
            </w:r>
            <w:r w:rsidR="000D1A62"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</w:t>
            </w:r>
            <w:r w:rsidR="00A54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заснемане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1A62"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събитието;</w:t>
            </w:r>
          </w:p>
          <w:p w14:paraId="505E0CB5" w14:textId="660C69D5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Изпълнителят е длъжен да подготви всички необходими средства за провеждане на церемониите, като например: Озвучаване; Подиум и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/или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тент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официалните лица;  Лопати с изписани име на проекта и № на договора за безвъзмездна финансова помощ - за стартиране на СМР по проекта; Трикольорна лента 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ножиц</w:t>
            </w:r>
            <w:r w:rsidR="000879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за откриване на обекта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Знамена на Европейски съюз, Р. България и община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анагюрище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431A5BAA" w14:textId="77777777" w:rsidR="000D1A62" w:rsidRPr="00A7173C" w:rsidRDefault="00CE00A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</w:pPr>
            <w:r w:rsidRPr="00CE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lastRenderedPageBreak/>
              <w:t xml:space="preserve">Изпълнителят е длъжен да подготви </w:t>
            </w:r>
            <w:r w:rsidR="000D1A62" w:rsidRPr="00A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bg-BG"/>
              </w:rPr>
              <w:t>и публикува информация на сайта на община Панагюрище за проведената официална церемония.</w:t>
            </w:r>
          </w:p>
          <w:p w14:paraId="653B4F6A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Гореописан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примерн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дейността на Изпълнителят не трябва да се ограничава до този списък. За официалн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церемони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същите да бъдат описани в предложения сценарий.</w:t>
            </w:r>
          </w:p>
        </w:tc>
      </w:tr>
      <w:tr w:rsidR="000D1A62" w:rsidRPr="005A5CE2" w14:paraId="6DE9A618" w14:textId="77777777" w:rsidTr="00942ED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D07FE" w14:textId="77777777" w:rsidR="000D1A62" w:rsidRPr="005A5CE2" w:rsidRDefault="000D1A62" w:rsidP="000D1A6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Доставка и монтаж на постоянни обяснителни табели, визуализиращи приноса на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РР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(50х70 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87CAE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A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3FE26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изработка, доставка и монтаж; </w:t>
            </w:r>
          </w:p>
          <w:p w14:paraId="2879B09A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размер 50/70 см;</w:t>
            </w:r>
          </w:p>
          <w:p w14:paraId="5F78D1A5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траен материал, устойчив на вятър и други атмосферни условия, </w:t>
            </w:r>
            <w:proofErr w:type="spellStart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пожаробезопасен</w:t>
            </w:r>
            <w:proofErr w:type="spellEnd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390F9A25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Материал: олекотена PVC плоскост за монтаж при външни условия в метална конструкция, с апликация от ламинирано PVC фолио в пълноцветен печат;</w:t>
            </w:r>
          </w:p>
          <w:p w14:paraId="26994E84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върху табелата трябва да бъде записана информация от </w:t>
            </w:r>
            <w:r w:rsidR="001908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т.8.2. от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„Единия наръчник на бенефициента за прилагане на правилата за информация и комуникация 2014-2020 г.“;</w:t>
            </w:r>
          </w:p>
          <w:p w14:paraId="6265E5F5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емблемата на ЕС и упоменаването „Европейски съюз”; </w:t>
            </w:r>
          </w:p>
          <w:p w14:paraId="7A33D732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наименованието на </w:t>
            </w:r>
            <w:proofErr w:type="spellStart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съфинансиращия</w:t>
            </w:r>
            <w:proofErr w:type="spellEnd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фонд – 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ЕФРР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31D38849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общото лого за програмен период 2014-2020 г., със съответното наименование на финансиращата програма – Оперативна програма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Региони в растеж“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2014 – 2020 г.; </w:t>
            </w:r>
          </w:p>
          <w:p w14:paraId="1B201A62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наименованието на проекта; общата стойност на проекта, както и размера на европейското и националното съфинансиране, представени в български лева.</w:t>
            </w:r>
          </w:p>
          <w:p w14:paraId="39A0EE7B" w14:textId="77777777" w:rsidR="000D1A62" w:rsidRPr="005A5CE2" w:rsidRDefault="000D1A62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Забележка: </w:t>
            </w:r>
            <w:r w:rsidRPr="005A5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Съдържанието и дизайнът на постоянната обяснителна табела се съгласуват предварително с Възложителя. Изпълнителят трябва да изготви проект на дизайн на постоянната обяснителна табела и да го представи на Възложителя за одобрение. Възложителят има право да предлага, проверява и коригира текстовото съдържание и дизайна на постоянната обяснителна табела по време на неговото разработване до окончателното му приемане.</w:t>
            </w:r>
          </w:p>
        </w:tc>
      </w:tr>
      <w:tr w:rsidR="005A5CE2" w:rsidRPr="005A5CE2" w14:paraId="6577D475" w14:textId="77777777" w:rsidTr="00942ED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5D683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Доставка и монтаж билборд (3х4 м)</w:t>
            </w:r>
          </w:p>
          <w:p w14:paraId="0A5339BB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DA821E" w14:textId="77777777" w:rsidR="005A5CE2" w:rsidRPr="005A5CE2" w:rsidRDefault="000D1A6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E81CE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изработка и монтаж; (монтиран на видно място, достъпно за широката общественост, след съгласуване с Възложителя);</w:t>
            </w:r>
          </w:p>
          <w:p w14:paraId="19868B90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размер на тялото на билборда - в/ш -300/400 см;</w:t>
            </w:r>
          </w:p>
          <w:p w14:paraId="59A4D0FA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тип на конструкцията: метална;</w:t>
            </w:r>
          </w:p>
          <w:p w14:paraId="22F1F378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височина на основата (крака/краката) 250 см от фундамента; </w:t>
            </w:r>
          </w:p>
          <w:p w14:paraId="3716049B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конструкция за монтиране – армиран фундамент (билборд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трябва да се монтира устойчиво, чрез вкопаване и бетониране);</w:t>
            </w:r>
          </w:p>
          <w:p w14:paraId="62BB891F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за печат винил;</w:t>
            </w:r>
          </w:p>
          <w:p w14:paraId="4F8849CB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двустранен, цветност: 5 + 0 с UV устойчиви мастила; </w:t>
            </w:r>
          </w:p>
          <w:p w14:paraId="3A83E14A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подходяща система за закрепване на винила така, че да устоява на атмосферни условия и вятър;</w:t>
            </w:r>
          </w:p>
          <w:p w14:paraId="7066A6FA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върху билборда трябва да бъде записана информация посочена в </w:t>
            </w:r>
            <w:r w:rsidR="00855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т.8.1. от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„Единия наръчник на бенефициента за прилагане на правилата за информация и комуникация 2014-2020 г.“;</w:t>
            </w:r>
          </w:p>
          <w:p w14:paraId="2D20AF85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емблемата на ЕС и упоменаването „Европейски съюз”; </w:t>
            </w:r>
          </w:p>
          <w:p w14:paraId="59FA4DF7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наименованието на </w:t>
            </w:r>
            <w:proofErr w:type="spellStart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съфинансиращия</w:t>
            </w:r>
            <w:proofErr w:type="spellEnd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фонд – „</w:t>
            </w:r>
            <w:r w:rsidR="00CE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ЕФРР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”; </w:t>
            </w:r>
          </w:p>
          <w:p w14:paraId="728DF5F6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•общото лого за програмен период 2014-2020 г., със съответното наименование на финансиращата програма – Оперативна програма „</w:t>
            </w:r>
            <w:r w:rsidR="000D1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Региони в растеж“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2014 – 2020 г.; </w:t>
            </w:r>
          </w:p>
          <w:p w14:paraId="4B21DA86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855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гербът на бенефициента Община П</w:t>
            </w:r>
            <w:r w:rsidR="000D1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анагюрище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14:paraId="6CC91FC4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855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наименованието на проекта; </w:t>
            </w:r>
          </w:p>
          <w:p w14:paraId="7AD4A147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855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      </w:r>
          </w:p>
          <w:p w14:paraId="4A3C2365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855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начална и крайна дата за изпълнение на проекта. </w:t>
            </w:r>
          </w:p>
          <w:p w14:paraId="0026A440" w14:textId="77777777" w:rsidR="005A5CE2" w:rsidRPr="005A5CE2" w:rsidRDefault="005A5CE2" w:rsidP="005A5CE2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Забележка: </w:t>
            </w:r>
            <w:r w:rsidRPr="005A5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Съдържанието и дизайнът на билборда се съгласуват предварително с Възложителя. Изпълнителят трябва да изготви проект на дизайн на билборда и да го представи на Възложителя за одобрение. Възложителят има право да предлага, проверява и коригира текстовото съдържание и дизайна на билборда по време на неговото разработване до окончателното му приемане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D1A62" w:rsidRPr="005A5CE2" w14:paraId="49AEC8F5" w14:textId="77777777" w:rsidTr="000D1A6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E88F6" w14:textId="77777777" w:rsidR="000D1A62" w:rsidRPr="005A5CE2" w:rsidRDefault="000D1A62" w:rsidP="0050719E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Печатни информационни материали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флаш-памет, химикал, папка с листа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92247" w14:textId="77777777" w:rsidR="000D1A62" w:rsidRPr="005A5CE2" w:rsidRDefault="0050719E" w:rsidP="00942EDD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0D1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D1A62"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4E0A1" w14:textId="77777777" w:rsidR="000D1A62" w:rsidRDefault="000D1A62" w:rsidP="00190836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Печатни информационни материали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7ECA2400" w14:textId="77777777" w:rsidR="0085525B" w:rsidRPr="0085525B" w:rsidRDefault="000D1A62" w:rsidP="0085525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0D1A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дипляни</w:t>
            </w:r>
            <w:proofErr w:type="spellEnd"/>
            <w:r w:rsidR="008552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: 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А4, пълноцветни. Грамажът на хартията, на която ще се отпечатва </w:t>
            </w:r>
            <w:proofErr w:type="spellStart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дипляната</w:t>
            </w:r>
            <w:proofErr w:type="spellEnd"/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 по предложение на участника.</w:t>
            </w:r>
            <w:r w:rsidR="0085525B" w:rsidRPr="0085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Вид на </w:t>
            </w:r>
            <w:proofErr w:type="spellStart"/>
            <w:r w:rsidR="0085525B" w:rsidRPr="0085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брандиране</w:t>
            </w:r>
            <w:proofErr w:type="spellEnd"/>
            <w:r w:rsidR="0085525B" w:rsidRPr="0085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на материалите</w:t>
            </w:r>
            <w:r w:rsidR="0085525B" w:rsidRPr="00855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Съгласно т. 8.5 от Единен наръчник на бенефициента за прилагане на правилата за информация и комуникация 2014 – 2020 г.</w:t>
            </w:r>
          </w:p>
          <w:p w14:paraId="2BD417F4" w14:textId="77777777" w:rsidR="000D1A62" w:rsidRDefault="000D1A62" w:rsidP="0085525B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флаш-памет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5525B" w:rsidRPr="0028758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USB флаш памет с USB 3.0 интерфейс, с капацитет 64 GB, </w:t>
            </w:r>
            <w:r w:rsidR="0085525B" w:rsidRPr="00287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дизайн и визия</w:t>
            </w:r>
            <w:r w:rsidR="0085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съгласно </w:t>
            </w:r>
            <w:r w:rsidR="0085525B" w:rsidRPr="008552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 8.6 и т. 8.7 от Единен наръчник на бенефициента за прилагане на правилата за информация и комуникация 2014 – 2020 г.</w:t>
            </w:r>
            <w:r w:rsidRPr="005A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2A7A5B7" w14:textId="77777777" w:rsidR="000D1A62" w:rsidRPr="0085525B" w:rsidRDefault="000D1A62" w:rsidP="0085525B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D1A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химикал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5525B" w:rsidRPr="0028758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метален корпус, пълнител</w:t>
            </w:r>
            <w:r w:rsidR="0085525B" w:rsidRPr="00287586">
              <w:rPr>
                <w:rFonts w:ascii="Times New Roman" w:eastAsia="Arial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="0085525B" w:rsidRPr="00287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дизайн и визия</w:t>
            </w:r>
            <w:r w:rsidR="0085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съгласно </w:t>
            </w:r>
            <w:r w:rsidR="0085525B" w:rsidRPr="008552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 8.6 и т. 8.7 от Единен наръчник на бенефициента за прилагане на правилата за информация и комуникация 2014 – 2020 г.</w:t>
            </w:r>
          </w:p>
          <w:p w14:paraId="748D0830" w14:textId="77777777" w:rsidR="0085525B" w:rsidRPr="0085525B" w:rsidRDefault="000D1A62" w:rsidP="0085525B">
            <w:pPr>
              <w:tabs>
                <w:tab w:val="left" w:pos="221"/>
                <w:tab w:val="left" w:pos="70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D1A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папка с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5525B" w:rsidRPr="0085525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Материал: картон гланц/мат (300 г/м²), </w:t>
            </w:r>
          </w:p>
          <w:p w14:paraId="618007CF" w14:textId="77777777" w:rsidR="0085525B" w:rsidRPr="0085525B" w:rsidRDefault="0085525B" w:rsidP="0085525B">
            <w:pPr>
              <w:tabs>
                <w:tab w:val="left" w:pos="221"/>
                <w:tab w:val="left" w:pos="70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5525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Формат: А4,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25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2 вътрешни джоба, </w:t>
            </w:r>
            <w:r w:rsidR="0019083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минимум 20 листа, слепени в горния край</w:t>
            </w:r>
          </w:p>
          <w:p w14:paraId="07B87009" w14:textId="77777777" w:rsidR="000D1A62" w:rsidRPr="005A5CE2" w:rsidRDefault="0085525B" w:rsidP="00190836">
            <w:pPr>
              <w:tabs>
                <w:tab w:val="num" w:pos="0"/>
              </w:tabs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25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Лице и гръб - пълноцветен печат, съдържащ текст съгласно изискванията за този вид промоционален материал съгласно</w:t>
            </w:r>
            <w:r w:rsidR="0019083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т. </w:t>
            </w:r>
            <w:r w:rsidR="0019083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lastRenderedPageBreak/>
              <w:t>8.6</w:t>
            </w:r>
            <w:r w:rsidR="00190836" w:rsidRPr="001908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90836" w:rsidRPr="0019083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от Единен наръчник на бенефициента за прилагане на правилата за информация и комуникация 2014 – 2020 г.</w:t>
            </w:r>
          </w:p>
        </w:tc>
      </w:tr>
    </w:tbl>
    <w:p w14:paraId="516047FA" w14:textId="77777777" w:rsidR="005A5CE2" w:rsidRPr="005A5CE2" w:rsidRDefault="005A5CE2" w:rsidP="005A5CE2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62E04" w14:textId="77777777" w:rsidR="005A5CE2" w:rsidRPr="005A5CE2" w:rsidRDefault="005A5CE2" w:rsidP="005A5CE2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CE2">
        <w:rPr>
          <w:rFonts w:ascii="Times New Roman" w:eastAsia="Times New Roman" w:hAnsi="Times New Roman" w:cs="Times New Roman"/>
          <w:sz w:val="24"/>
          <w:szCs w:val="24"/>
          <w:lang w:eastAsia="ar-SA"/>
        </w:rPr>
        <w:t>Съдържанието на печатните и информационни материали (текст, снимков материал и др.), се съгласува с Възложителя предварително и след като получи одобрение се предоставя за тиражиране. Всеки информационен материал трябва да съдържа необходимата визуализация, съгласно изискванията на Единен наръчник на бенефициента за прилагане на правилата за информация и комуникация 2014-2020 г.</w:t>
      </w:r>
    </w:p>
    <w:p w14:paraId="69103461" w14:textId="77777777" w:rsidR="005A5CE2" w:rsidRPr="005A5CE2" w:rsidRDefault="005A5CE2" w:rsidP="005A5CE2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B660DB" w14:textId="77777777" w:rsidR="005A5CE2" w:rsidRPr="005A5CE2" w:rsidRDefault="005A5CE2" w:rsidP="005A5CE2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A5CE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Забележки: </w:t>
      </w:r>
    </w:p>
    <w:p w14:paraId="48AE6F73" w14:textId="77777777" w:rsidR="005A5CE2" w:rsidRPr="005A5CE2" w:rsidRDefault="005A5CE2" w:rsidP="005A5CE2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A5CE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№ 1 Възложителят възлага изпълнението на дейностите от предмета на поръчката с отделно </w:t>
      </w:r>
      <w:proofErr w:type="spellStart"/>
      <w:r w:rsidRPr="005A5CE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възлагателно</w:t>
      </w:r>
      <w:proofErr w:type="spellEnd"/>
      <w:r w:rsidRPr="005A5CE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писмо. </w:t>
      </w:r>
    </w:p>
    <w:p w14:paraId="66F669F7" w14:textId="77777777" w:rsidR="005A5CE2" w:rsidRPr="005A5CE2" w:rsidRDefault="005A5CE2" w:rsidP="005A5CE2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A5CE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№ 2 За посочени конкретен стандарт, спецификация, техническа оценка, техническо одобрение или технически еталон, модел, източник, специфичен процес, търговска марка, патент, тип, произход или производство, съгласно чл. 48, ал. 2 и чл. 49, ал. 2 от Закона за обществените поръчки да се чете „или еквивалентно/и“.</w:t>
      </w:r>
    </w:p>
    <w:p w14:paraId="164C04BF" w14:textId="77777777" w:rsidR="005A5CE2" w:rsidRDefault="005A5CE2" w:rsidP="00305425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5EC8F5" w14:textId="77777777" w:rsidR="00305425" w:rsidRDefault="00305425" w:rsidP="00305425">
      <w:pPr>
        <w:tabs>
          <w:tab w:val="num" w:pos="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2"/>
    <w:p w14:paraId="38505A56" w14:textId="77777777" w:rsidR="0050719E" w:rsidRPr="0050719E" w:rsidRDefault="0050719E" w:rsidP="00420084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Изисквания към изпълнението</w:t>
      </w:r>
    </w:p>
    <w:p w14:paraId="7DA66E7A" w14:textId="77777777" w:rsidR="0050719E" w:rsidRPr="0050719E" w:rsidRDefault="0050719E" w:rsidP="00420084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E94B55" w14:textId="77777777" w:rsidR="0050719E" w:rsidRPr="0050719E" w:rsidRDefault="0050719E" w:rsidP="00420084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 се задължава да спазва изискванията, описани в Техническата спецификация и изискванията на Единия наръчник на бенефициента за прилагане на правилата за информация и комуникация 2014-2020 г., както и съответните правила за информиране, комуникация и реклама, предвидени в чл. 115 § 4 от Регламент 1303/2013 г. и в чл. 3, чл. 4, чл. 5 на Европейския парламент и на Съвета от 17.12.2013 г. и Приложение ІІ от Регламент за изпълнение (ЕС) № 821/2014 на Комисията от 28.07.2014 г.</w:t>
      </w:r>
    </w:p>
    <w:p w14:paraId="34FBF663" w14:textId="77777777" w:rsidR="0050719E" w:rsidRPr="0050719E" w:rsidRDefault="0050719E" w:rsidP="00420084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80D34" w14:textId="77777777" w:rsidR="0050719E" w:rsidRPr="0050719E" w:rsidRDefault="0050719E" w:rsidP="00420084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7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за изпълнение и поддържане:</w:t>
      </w:r>
    </w:p>
    <w:p w14:paraId="388F6A8B" w14:textId="796500E3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Срокът за изпълнение на Договора за обществена поръчката започва да тече от датата на подписване на договора и приключва с изпълнението на дейностите по проект </w:t>
      </w:r>
      <w:r w:rsidRPr="005071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bg-BG"/>
        </w:rPr>
        <w:t>„Обновяване и внедряване на мерки за енергийна ефективност в многофамилни жилищни сгради“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осъществява с финансовата подкрепа на Процедура № </w:t>
      </w:r>
      <w:r w:rsidR="00420084" w:rsidRPr="00420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BG16RFOP001-1.039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42008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Изпълнение на интегрирани планове за градско възстановяване и развитие 2014-2020 - Панагюрище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“ по Приоритетн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 и интегрирано градско развитие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“ на Оперативна програма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Региони в растеж“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2014 – 2020 г., съфинансирана от Европейския съюз чрез </w:t>
      </w:r>
      <w:r w:rsidR="00A5499D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ЕФРР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от държавния бюджет на Република България. </w:t>
      </w:r>
    </w:p>
    <w:p w14:paraId="70F72A7D" w14:textId="535A1152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Срокът за изпълнение на договора за безвъзмездна финансова помощ е с продължителност </w:t>
      </w:r>
      <w:r w:rsidR="0042008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месеца. Срокът на договора за изпълнение на обществената поръчка </w:t>
      </w:r>
      <w:r w:rsidR="00190836">
        <w:rPr>
          <w:rFonts w:ascii="Times New Roman" w:eastAsia="Times New Roman" w:hAnsi="Times New Roman" w:cs="Times New Roman"/>
          <w:sz w:val="24"/>
          <w:szCs w:val="24"/>
          <w:lang w:eastAsia="ar-SA"/>
        </w:rPr>
        <w:t>е 1</w:t>
      </w:r>
      <w:r w:rsidR="00A5499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190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месеца, но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подлежи на удължаване, в случай на удължаване на сроковете на изпълнението на АДБФП и съвпада с неговия последно удължен във времето срок. За случаите на удължаване на АДБФП Възложителят уведомява своевременно Изпълнителя;</w:t>
      </w:r>
    </w:p>
    <w:p w14:paraId="5525EF00" w14:textId="77777777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</w:t>
      </w:r>
      <w:bookmarkStart w:id="8" w:name="_Hlk30508462"/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от 20 (двадесет) работни дни от подписване на договора, </w:t>
      </w:r>
      <w:r w:rsidRPr="00507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изпълнителя</w:t>
      </w:r>
      <w:r w:rsidRPr="00507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7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изготвя „проект“ (текст, визия, дизайн</w:t>
      </w:r>
      <w:r w:rsidR="001908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сценарий</w:t>
      </w:r>
      <w:r w:rsidRPr="00507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други в зависимост от дейността) на всички </w:t>
      </w:r>
      <w:r w:rsidRPr="00507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информационни материали и мероприятия от Техническата спецификация и ги представя на 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</w:t>
      </w: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приемо-предавателен протокол.</w:t>
      </w:r>
      <w:bookmarkEnd w:id="8"/>
    </w:p>
    <w:p w14:paraId="2B4EBAED" w14:textId="77777777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507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Възложителят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одобрява „проекта” (текст, визия, дизайн</w:t>
      </w:r>
      <w:r w:rsidR="001908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сценарии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 в зависимост от дейността) или отправя писмени забележки и препоръки в срок до 5 (пет) работни дни от представянето на проектите. </w:t>
      </w:r>
      <w:bookmarkStart w:id="9" w:name="_Hlk30508549"/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случай на отправени писмени забележки и препоръки Изпълнителят е длъжен да се съобрази с тях и да представи нов проект до 3 (три) работни дни от получаване на забележките.</w:t>
      </w:r>
    </w:p>
    <w:bookmarkEnd w:id="9"/>
    <w:p w14:paraId="0665ED78" w14:textId="77777777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507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Възложителят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възлага на </w:t>
      </w:r>
      <w:r w:rsidRPr="00507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изпълнителя</w:t>
      </w:r>
      <w:r w:rsidRPr="00507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дейности от предмета на договора с </w:t>
      </w:r>
      <w:proofErr w:type="spellStart"/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Възлагателно</w:t>
      </w:r>
      <w:proofErr w:type="spellEnd"/>
      <w:r w:rsidR="00190836">
        <w:rPr>
          <w:rFonts w:ascii="Times New Roman" w:eastAsia="Times New Roman" w:hAnsi="Times New Roman" w:cs="Times New Roman"/>
          <w:sz w:val="24"/>
          <w:szCs w:val="24"/>
          <w:lang w:eastAsia="ar-SA"/>
        </w:rPr>
        <w:t>/и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писмо</w:t>
      </w:r>
      <w:r w:rsidR="00190836">
        <w:rPr>
          <w:rFonts w:ascii="Times New Roman" w:eastAsia="Times New Roman" w:hAnsi="Times New Roman" w:cs="Times New Roman"/>
          <w:sz w:val="24"/>
          <w:szCs w:val="24"/>
          <w:lang w:eastAsia="ar-SA"/>
        </w:rPr>
        <w:t>/а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което се конкретизира вида на дейността и количеството.</w:t>
      </w:r>
    </w:p>
    <w:p w14:paraId="0F53C021" w14:textId="77777777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Стартирането и изпълнението на всяка дейност се извършва до 10 календарни дни от получаване на </w:t>
      </w:r>
      <w:proofErr w:type="spellStart"/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Възлагателно</w:t>
      </w:r>
      <w:proofErr w:type="spellEnd"/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писмо от Възложителя. </w:t>
      </w:r>
    </w:p>
    <w:p w14:paraId="1AFE79EC" w14:textId="77777777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81499" w14:textId="77777777" w:rsidR="0050719E" w:rsidRPr="0050719E" w:rsidRDefault="0050719E" w:rsidP="004200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Поддръжка: </w:t>
      </w:r>
    </w:p>
    <w:p w14:paraId="785AFE75" w14:textId="77777777" w:rsidR="0050719E" w:rsidRPr="0050719E" w:rsidRDefault="0050719E" w:rsidP="004200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Изпълнителят трябва да изработи и/или използва такива материали които да бъдат устойчиви на атмосферни условия (за реализация на дейности в открита среда); </w:t>
      </w:r>
    </w:p>
    <w:p w14:paraId="55E0B647" w14:textId="77777777" w:rsidR="0050719E" w:rsidRPr="0050719E" w:rsidRDefault="0050719E" w:rsidP="00420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bookmarkStart w:id="10" w:name="_Hlk30508384"/>
      <w:r w:rsidRPr="0050719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 се задължава да отстранява евентуално възникнали дефекти и проблеми при експлоатация на отделните компоненти (билборд, банер, информационни табели), определени в настоящата техническа спецификация - разположени на открито и закрито с изключение на вандалски прояви.</w:t>
      </w:r>
      <w:bookmarkEnd w:id="10"/>
    </w:p>
    <w:p w14:paraId="28BDB1AA" w14:textId="77777777" w:rsidR="00420084" w:rsidRDefault="00420084" w:rsidP="00420084">
      <w:pPr>
        <w:widowControl w:val="0"/>
        <w:spacing w:after="0" w:line="276" w:lineRule="auto"/>
        <w:ind w:left="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14:paraId="10558181" w14:textId="77777777" w:rsidR="00020301" w:rsidRPr="00020301" w:rsidRDefault="00020301" w:rsidP="00420084">
      <w:pPr>
        <w:widowControl w:val="0"/>
        <w:spacing w:after="0" w:line="276" w:lineRule="auto"/>
        <w:ind w:left="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20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Приемане и отчитане на услугите</w:t>
      </w:r>
    </w:p>
    <w:p w14:paraId="3B55F4ED" w14:textId="77777777" w:rsidR="004661CE" w:rsidRDefault="00020301" w:rsidP="00420084">
      <w:pPr>
        <w:pStyle w:val="70"/>
        <w:shd w:val="clear" w:color="auto" w:fill="auto"/>
        <w:tabs>
          <w:tab w:val="left" w:pos="709"/>
        </w:tabs>
        <w:spacing w:before="0" w:line="276" w:lineRule="auto"/>
        <w:jc w:val="both"/>
        <w:rPr>
          <w:rFonts w:eastAsia="Courier New"/>
          <w:color w:val="000000"/>
          <w:sz w:val="24"/>
          <w:szCs w:val="24"/>
          <w:lang w:eastAsia="bg-BG" w:bidi="bg-BG"/>
        </w:rPr>
      </w:pPr>
      <w:r>
        <w:rPr>
          <w:rFonts w:eastAsia="Courier New"/>
          <w:color w:val="000000"/>
          <w:sz w:val="24"/>
          <w:szCs w:val="24"/>
          <w:lang w:eastAsia="bg-BG" w:bidi="bg-BG"/>
        </w:rPr>
        <w:tab/>
      </w:r>
      <w:r w:rsidRPr="00020301">
        <w:rPr>
          <w:rFonts w:eastAsia="Courier New"/>
          <w:color w:val="000000"/>
          <w:sz w:val="24"/>
          <w:szCs w:val="24"/>
          <w:lang w:eastAsia="bg-BG" w:bidi="bg-BG"/>
        </w:rPr>
        <w:t xml:space="preserve">Всички материали и дейности </w:t>
      </w:r>
      <w:r w:rsidRPr="00020301">
        <w:rPr>
          <w:rFonts w:eastAsia="Courier New"/>
          <w:b/>
          <w:bCs/>
          <w:color w:val="000000"/>
          <w:sz w:val="24"/>
          <w:szCs w:val="24"/>
          <w:lang w:eastAsia="bg-BG" w:bidi="bg-BG"/>
        </w:rPr>
        <w:t xml:space="preserve">ще се приемат с </w:t>
      </w:r>
      <w:proofErr w:type="spellStart"/>
      <w:r w:rsidRPr="00020301">
        <w:rPr>
          <w:rFonts w:eastAsia="Courier New"/>
          <w:color w:val="000000"/>
          <w:sz w:val="24"/>
          <w:szCs w:val="24"/>
          <w:lang w:eastAsia="bg-BG" w:bidi="bg-BG"/>
        </w:rPr>
        <w:t>Приемо</w:t>
      </w:r>
      <w:proofErr w:type="spellEnd"/>
      <w:r w:rsidRPr="00020301">
        <w:rPr>
          <w:rFonts w:eastAsia="Courier New"/>
          <w:color w:val="000000"/>
          <w:sz w:val="24"/>
          <w:szCs w:val="24"/>
          <w:lang w:eastAsia="bg-BG" w:bidi="bg-BG"/>
        </w:rPr>
        <w:t xml:space="preserve"> - предавателен протокол - подписан от представител на Възложителя и Изпълнителя.</w:t>
      </w:r>
    </w:p>
    <w:p w14:paraId="20706F11" w14:textId="77777777" w:rsidR="00FD04F9" w:rsidRDefault="00FD04F9" w:rsidP="00420084">
      <w:pPr>
        <w:pStyle w:val="70"/>
        <w:shd w:val="clear" w:color="auto" w:fill="auto"/>
        <w:tabs>
          <w:tab w:val="left" w:pos="709"/>
        </w:tabs>
        <w:spacing w:before="0" w:line="276" w:lineRule="auto"/>
        <w:jc w:val="both"/>
        <w:rPr>
          <w:rFonts w:eastAsia="Courier New"/>
          <w:color w:val="000000"/>
          <w:sz w:val="24"/>
          <w:szCs w:val="24"/>
          <w:lang w:eastAsia="bg-BG" w:bidi="bg-BG"/>
        </w:rPr>
      </w:pPr>
    </w:p>
    <w:p w14:paraId="1461B007" w14:textId="77777777" w:rsidR="00FD04F9" w:rsidRDefault="00FD04F9" w:rsidP="00420084">
      <w:pPr>
        <w:pStyle w:val="70"/>
        <w:shd w:val="clear" w:color="auto" w:fill="auto"/>
        <w:tabs>
          <w:tab w:val="left" w:pos="709"/>
        </w:tabs>
        <w:spacing w:before="0" w:line="276" w:lineRule="auto"/>
        <w:jc w:val="both"/>
        <w:rPr>
          <w:rFonts w:eastAsia="Courier New"/>
          <w:color w:val="000000"/>
          <w:sz w:val="24"/>
          <w:szCs w:val="24"/>
          <w:lang w:eastAsia="bg-BG" w:bidi="bg-BG"/>
        </w:rPr>
      </w:pPr>
    </w:p>
    <w:p w14:paraId="02AAAFA6" w14:textId="779C785F" w:rsidR="00FD04F9" w:rsidRPr="00FD04F9" w:rsidRDefault="00FD04F9" w:rsidP="00420084">
      <w:pPr>
        <w:pStyle w:val="70"/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eastAsia="bg-BG" w:bidi="bg-BG"/>
        </w:rPr>
        <w:t>Изготвил:</w:t>
      </w:r>
      <w:bookmarkStart w:id="11" w:name="_GoBack"/>
      <w:bookmarkEnd w:id="11"/>
    </w:p>
    <w:sectPr w:rsidR="00FD04F9" w:rsidRPr="00FD04F9" w:rsidSect="00FC00F0"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FFD33" w14:textId="77777777" w:rsidR="006407B0" w:rsidRDefault="006407B0" w:rsidP="00DC3C74">
      <w:pPr>
        <w:spacing w:after="0" w:line="240" w:lineRule="auto"/>
      </w:pPr>
      <w:r>
        <w:separator/>
      </w:r>
    </w:p>
  </w:endnote>
  <w:endnote w:type="continuationSeparator" w:id="0">
    <w:p w14:paraId="6568D882" w14:textId="77777777" w:rsidR="006407B0" w:rsidRDefault="006407B0" w:rsidP="00DC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C310" w14:textId="5F5F306D" w:rsidR="00FC00F0" w:rsidRPr="00DB2072" w:rsidRDefault="00DB2072" w:rsidP="00DB2072">
    <w:pPr>
      <w:pStyle w:val="a6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177273411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61D1BD1B" wp14:editId="4650AA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35AA" w14:textId="77777777" w:rsidR="00DB2072" w:rsidRDefault="00DB2072" w:rsidP="00DB207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  <w:p w14:paraId="6DF4B20B" w14:textId="77777777" w:rsidR="00DB2072" w:rsidRDefault="00DB2072" w:rsidP="00DB20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D04F9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1D1BD1B" id="Правоъгълник 2" o:spid="_x0000_s1026" style="position:absolute;margin-left:0;margin-top:0;width:44.55pt;height:15.1pt;rotation:180;flip:x;z-index:251663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6U5QIAANAFAAAOAAAAZHJzL2Uyb0RvYy54bWysVN1u0zAUvkfiHSzfZ0lK0ibV0mlLWkAa&#10;MGnwAG7iNBaJHWx36UBIXPMSvAKCGwSCZ8jeiGO36892g4BKjezj4+/8fJ/P8cmqqdEVlYoJnmD/&#10;yMOI8lwUjC8S/OrlzIkwUprwgtSC0wRfU4VPJg8fHHftmA5EJeqCSgQgXI27NsGV1u3YdVVe0Yao&#10;I9FSDoelkA3RsJULt5CkA/SmdgeeN3Q7IYtWipwqBdZsfYgnFr8saa5flKWiGtUJhty0/Ur7nZuv&#10;Ozkm44UkbcXyTRrkL7JoCOMQdAuVEU3QUrJ7UA3LpVCi1Ee5aFxRliyntgaoxvfuVHNZkZbaWqA5&#10;qt22Sf0/2Pz51YVErEjwACNOGqCo/3Tzof/cf+l/3Xzsv8L/R/+z/9Z/RwPTra5VY7h02V5IU69q&#10;z0X+WiEu0orwBT2VUnQVJQXk6Bt/9+CC2Si4iubdM1FAMLLUwjZuVcoGSQEE+V7kmR9GZc3aJwbH&#10;RIJeoZUl7npLHF1plIMxHIajKMQohyM/9kcjS6xLxgbVXG6l0o+paJBZJFiCLiwouTpX2mS5czHu&#10;XMxYXVtt1PzAAI5rC4SGq+bMJGGpfhd78TSaRoETDIZTJ/CyzDmdpYEznPmjMHuUpWnmvzdx/WBc&#10;saKg3IS5lZ0f/BmtmwewFsxWeErUrDBwJiUlF/O0luiKgOxTL/SCzHIBJzs39zAN2wSo5U5J/iDw&#10;zgaxMxtGIyeYBaETj7zI8fz4LB56QRxks8OSzhmn/14S6kCRUTgKLU17Wd8pLkyjR2fB/eLIuGEa&#10;JkvNmgRv9GT5NNqc8sKuNWH1er3XC5P/rhfA9y3TVslGvOtHoFfzFaAYRc9FcQ2atuoF2cI4BI1V&#10;Qr7FqIPRkmD1Zkkkxah+yuFdxH4QmFlkN7CQ+9b5rZXwHCASrDFaL1O9nlvLVrJFBRHW74KLU3hD&#10;JbMy3mWzeXkwNmwxmxFn5tL+3nrtBvHkN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BG3P6U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14:paraId="6E8135AA" w14:textId="77777777" w:rsidR="00DB2072" w:rsidRDefault="00DB2072" w:rsidP="00DB2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  <w:p w14:paraId="6DF4B20B" w14:textId="77777777" w:rsidR="00DB2072" w:rsidRDefault="00DB2072" w:rsidP="00DB20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FD04F9">
                          <w:rPr>
                            <w:rFonts w:ascii="Times New Roman" w:hAnsi="Times New Roman" w:cs="Times New Roman"/>
                            <w:noProof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„Обновяване и внедряване на мерки за енергийна ефективност в многофамилни жилищни сгради“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на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proofErr w:type="gram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proofErr w:type="gram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42345" w14:textId="65FFF750" w:rsidR="00FC00F0" w:rsidRPr="000F4623" w:rsidRDefault="006407B0" w:rsidP="00FC00F0">
    <w:pPr>
      <w:pBdr>
        <w:top w:val="double" w:sz="4" w:space="1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bg-BG"/>
      </w:rPr>
    </w:pPr>
    <w:sdt>
      <w:sdtPr>
        <w:id w:val="648713204"/>
        <w:docPartObj>
          <w:docPartGallery w:val="Page Numbers (Bottom of Page)"/>
          <w:docPartUnique/>
        </w:docPartObj>
      </w:sdtPr>
      <w:sdtEndPr/>
      <w:sdtContent>
        <w:r w:rsidR="00FC00F0"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7747BB14" wp14:editId="15E0E4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Правоъгъл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5F407" w14:textId="77777777" w:rsidR="00FC00F0" w:rsidRPr="003464EB" w:rsidRDefault="00FC00F0" w:rsidP="00FC00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D04F9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747BB14" id="Правоъгълник 5" o:spid="_x0000_s1027" style="position:absolute;left:0;text-align:left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9r6AIAANcFAAAOAAAAZHJzL2Uyb0RvYy54bWysVF2O0zAQfkfiDpbfs0lK0ibVpqvdpAWk&#10;BVZaOICbOI1FYgfb3XRBSDxzCa6A4AWB4AzZGzF2u/3ZfUFApUb+Gc/MN983c3yyamp0RaVigifY&#10;P/IwojwXBeOLBL96OXMijJQmvCC14DTB11Thk8nDB8ddO6YDUYm6oBKBE67GXZvgSut27Loqr2hD&#10;1JFoKYfLUsiGaNjKhVtI0oH3pnYHnjd0OyGLVoqcKgWn2foST6z/sqS5flGWimpUJxhy0/Yr7Xdu&#10;vu7kmIwXkrQVyzdpkL/IoiGMQ9Ctq4xogpaS3XPVsFwKJUp9lIvGFWXJcmoxABrfu4PmsiIttVig&#10;OKrdlkn9P7f586sLiViR4BAjThqgqP9086H/3H/pf9187L/C/0f/s//Wf0ehqVbXqjE8umwvpMGr&#10;2nORv1aIi7QifEFPpRRdRUkBOfrG3j14YDYKnqJ590wUEIwstbCFW5WyQVIAQb4XeeaHUVmz9onx&#10;YyJBrdDKEne9JY6uNMrhMByGowgA5HDlx/5oZIl1ydh4NY9bqfRjKhpkFgmWoAvrlFydK22y3JkY&#10;cy5mrK6tNmp+cACG6xMIDU/NnUnCUv0u9uJpNI0CJxgMp07gZZlzOksDZzjzR2H2KEvTzH9v4vrB&#10;uGJFQbkJcys7P/gzWjcNsBbMVnhK1Kww7kxKSi7maS3RFQHZp17oBZnlAm52Zu5hGrYIgOUOJH8Q&#10;eGeD2JkNo5ETzILQiUde5Hh+fBYPvSAOstkhpHPG6b9DQl2CB1E4Ci1Ne1nfARem0aOz4D44Mm6Y&#10;hslSsybBGz1ZPo02p7ywa01YvV7v1cLkv6sF8H3LtFWyEe+6CfRqvrKNY2VuhD0XxTVI24oY1AtT&#10;EaRWCfkWow4mTILVmyWRFKP6KYf2iP0gMCPJbmAh90/nt6eE5+AiwRqj9TLV6/G1bCVbVBBh3R5c&#10;nEIrlcyqeZfNpgFhelhMm0lnxtP+3lrt5vHkNwA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Cb5z9r6AIAANcFAAAOAAAAAAAA&#10;AAAAAAAAAC4CAABkcnMvZTJvRG9jLnhtbFBLAQItABQABgAIAAAAIQAj5Xrx2wAAAAMBAAAPAAAA&#10;AAAAAAAAAAAAAEIFAABkcnMvZG93bnJldi54bWxQSwUGAAAAAAQABADzAAAASgYAAAAA&#10;" filled="f" fillcolor="#c0504d" stroked="f" strokecolor="#5c83b4" strokeweight="2.25pt">
                  <v:textbox inset=",0,,0">
                    <w:txbxContent>
                      <w:p w14:paraId="72E5F407" w14:textId="77777777" w:rsidR="00FC00F0" w:rsidRPr="003464EB" w:rsidRDefault="00FC00F0" w:rsidP="00FC00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FD04F9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C00F0" w:rsidRPr="000F4623">
      <w:rPr>
        <w:rFonts w:ascii="Times New Roman" w:eastAsia="Times New Roman" w:hAnsi="Times New Roman" w:cs="Times New Roman"/>
        <w:i/>
        <w:sz w:val="20"/>
        <w:szCs w:val="20"/>
        <w:lang w:eastAsia="bg-BG"/>
      </w:rPr>
      <w:t xml:space="preserve"> </w:t>
    </w:r>
    <w:r w:rsidR="00DB2072"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-1996250535"/>
        <w:docPartObj>
          <w:docPartGallery w:val="Page Numbers (Bottom of Page)"/>
          <w:docPartUnique/>
        </w:docPartObj>
      </w:sdtPr>
      <w:sdtEndPr/>
      <w:sdtContent>
        <w:r w:rsidR="00DB2072"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27BFB532" wp14:editId="0096FFA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C4F8C" w14:textId="77777777" w:rsidR="00DB2072" w:rsidRDefault="00DB2072" w:rsidP="00DB207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  <w:p w14:paraId="2D747A10" w14:textId="77777777" w:rsidR="00DB2072" w:rsidRDefault="00DB2072" w:rsidP="00DB20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D04F9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7BFB532" id="Правоъгълник 3" o:spid="_x0000_s1028" style="position:absolute;left:0;text-align:left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Jc6QIAANcFAAAOAAAAZHJzL2Uyb0RvYy54bWysVF2O0zAQfkfiDpbfs0napE2qTVe7TQtI&#10;C6y0cAA3cRqLxA62u+mCkHjmElwBwQsCwRm6N2Ls9Hd5QUClRv4Zz8w33zdzeraqK3RDpWKCJ9g/&#10;8TCiPBM544sEv3wxcyKMlCY8J5XgNMG3VOGz8cMHp20zoj1RiiqnEoETrkZtk+BS62bkuioraU3U&#10;iWgoh8tCyJpo2MqFm0vSgve6cnueN3BbIfNGiowqBadpd4nH1n9R0Ew/LwpFNaoSDLlp+5X2Ozdf&#10;d3xKRgtJmpJlmzTIX2RRE8Yh6M5VSjRBS8l+c1WzTAolCn2SidoVRcEyajEAGt+7h+a6JA21WKA4&#10;qtmVSf0/t9mzmyuJWJ7gPkac1EDR+uPd+/Wn9ef1z7sP6y/w/77+sf66/ob6plpto0bw6Lq5kgav&#10;ai5F9kohLiYl4Qt6LqVoS0pyyNE39u7RA7NR8BTN26cih2BkqYUt3KqQNZICCPK9yDM/jIqKNY+N&#10;HxMJaoVWlrjbHXF0pVEGh+EgHEYhRhlc+bE/HFpiXTIyXs3jRir9iIoamUWCJejCOiU3l0qbLPcm&#10;xpyLGasqq42KHx2AYXcCoeGpuTNJWKrfxl48jaZR4AS9wdQJvDR1zmeTwBnM/GGY9tPJJPXfmbh+&#10;MCpZnlNuwmxl5wd/RuumATrB7ISnRMVy486kpORiPqkkuiEg+4kXekFquYCbvZl7nIYtAmC5B8nv&#10;Bd5FL3Zmg2joBLMgdOKhFzmeH1/EAy+Ig3R2DOmScfrvkFCb4F4UDkNL00HW98CFk6h/EfwOjoxq&#10;pmGyVKxO8EZPlk+jzSnP7VoTVnXrg1qY/Pe1AL63TFslG/F2TaBX85VtnN62LeYivwVpWxGDemEq&#10;gtRKId9g1MKESbB6vSSSYlQ94dAesR8EZiTZDSzk4el8e0p4Bi4SrDHqlhPdja9lI9mihAhde3Bx&#10;Dq1UMKtm02ZdNpsGhOlhMW0mnRlPh3trtZ/H418AAAD//wMAUEsDBBQABgAIAAAAIQAj5Xrx2wAA&#10;AAMBAAAPAAAAZHJzL2Rvd25yZXYueG1sTI9PS8NAEMXvQr/DMgVvdtNWpKaZFBEE8U+jVTxvs9Mk&#10;mJ2N2W0bv31HL3oZeLzHe7/JVoNr1YH60HhGmE4SUMSltw1XCO9vdxcLUCEatqb1TAjfFGCVj84y&#10;k1p/5Fc6bGKlpIRDahDqGLtU61DW5EyY+I5YvJ3vnYki+0rb3hyl3LV6liRX2pmGZaE2Hd3WVH5u&#10;9g7Bf3w92mLtnrUu1k/l/eX85aFgxPPxcLMEFWmIf2H4wRd0yIVp6/dsg2oR5JH4e8VbXE9BbRHm&#10;yQx0nun/7PkJAAD//wMAUEsBAi0AFAAGAAgAAAAhALaDOJL+AAAA4QEAABMAAAAAAAAAAAAAAAAA&#10;AAAAAFtDb250ZW50X1R5cGVzXS54bWxQSwECLQAUAAYACAAAACEAOP0h/9YAAACUAQAACwAAAAAA&#10;AAAAAAAAAAAvAQAAX3JlbHMvLnJlbHNQSwECLQAUAAYACAAAACEAJaMiXOkCAADXBQAADgAAAAAA&#10;AAAAAAAAAAAuAgAAZHJzL2Uyb0RvYy54bWxQSwECLQAUAAYACAAAACEAI+V68dsAAAADAQAADwAA&#10;AAAAAAAAAAAAAABDBQAAZHJzL2Rvd25yZXYueG1sUEsFBgAAAAAEAAQA8wAAAEsGAAAAAA==&#10;" filled="f" fillcolor="#c0504d" stroked="f" strokecolor="#5c83b4" strokeweight="2.25pt">
                  <v:textbox inset=",0,,0">
                    <w:txbxContent>
                      <w:p w14:paraId="40AC4F8C" w14:textId="77777777" w:rsidR="00DB2072" w:rsidRDefault="00DB2072" w:rsidP="00DB2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  <w:p w14:paraId="2D747A10" w14:textId="77777777" w:rsidR="00DB2072" w:rsidRDefault="00DB2072" w:rsidP="00DB20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FD04F9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 w:rsidR="00DB2072"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„Обновяване и внедряване на мерки за енергийна ефективност в многофамилни жилищни сгради“</w:t>
    </w:r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 w:rsidR="00DB2072"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се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на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proofErr w:type="gram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proofErr w:type="gram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 w:rsidR="00DB2072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 w:rsidR="00DB2072"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9CEB4" w14:textId="77777777" w:rsidR="006407B0" w:rsidRDefault="006407B0" w:rsidP="00DC3C74">
      <w:pPr>
        <w:spacing w:after="0" w:line="240" w:lineRule="auto"/>
      </w:pPr>
      <w:r>
        <w:separator/>
      </w:r>
    </w:p>
  </w:footnote>
  <w:footnote w:type="continuationSeparator" w:id="0">
    <w:p w14:paraId="1529640A" w14:textId="77777777" w:rsidR="006407B0" w:rsidRDefault="006407B0" w:rsidP="00DC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087" w14:textId="77777777" w:rsidR="00FC00F0" w:rsidRPr="00347C67" w:rsidRDefault="00FC00F0" w:rsidP="00FC00F0">
    <w:pPr>
      <w:pStyle w:val="a4"/>
    </w:pPr>
    <w:r w:rsidRPr="00347C67">
      <w:rPr>
        <w:noProof/>
        <w:lang w:eastAsia="bg-BG"/>
      </w:rPr>
      <w:drawing>
        <wp:inline distT="0" distB="0" distL="0" distR="0" wp14:anchorId="5C88110F" wp14:editId="6B0343AA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17DE24" w14:textId="77777777" w:rsidR="00FC00F0" w:rsidRDefault="00FC0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556"/>
        </w:tabs>
        <w:ind w:left="2556" w:hanging="432"/>
      </w:pPr>
    </w:lvl>
    <w:lvl w:ilvl="1">
      <w:start w:val="1"/>
      <w:numFmt w:val="none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10251BAA"/>
    <w:multiLevelType w:val="multilevel"/>
    <w:tmpl w:val="1FB4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38872BF"/>
    <w:multiLevelType w:val="multilevel"/>
    <w:tmpl w:val="906A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617BD"/>
    <w:multiLevelType w:val="multilevel"/>
    <w:tmpl w:val="68227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CB76A3"/>
    <w:multiLevelType w:val="hybridMultilevel"/>
    <w:tmpl w:val="90AA3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2550"/>
    <w:multiLevelType w:val="multilevel"/>
    <w:tmpl w:val="3F1C78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463715"/>
    <w:multiLevelType w:val="multilevel"/>
    <w:tmpl w:val="C9C056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27BA3"/>
    <w:multiLevelType w:val="multilevel"/>
    <w:tmpl w:val="F558F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91DB8"/>
    <w:multiLevelType w:val="multilevel"/>
    <w:tmpl w:val="B860B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5F7C5F"/>
    <w:multiLevelType w:val="multilevel"/>
    <w:tmpl w:val="49908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4170E"/>
    <w:multiLevelType w:val="hybridMultilevel"/>
    <w:tmpl w:val="F1BC4578"/>
    <w:lvl w:ilvl="0" w:tplc="BDEE01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F7BC4"/>
    <w:multiLevelType w:val="multilevel"/>
    <w:tmpl w:val="C314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B52DF9"/>
    <w:multiLevelType w:val="multilevel"/>
    <w:tmpl w:val="B3009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9606BA"/>
    <w:multiLevelType w:val="multilevel"/>
    <w:tmpl w:val="97284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2F728C"/>
    <w:multiLevelType w:val="hybridMultilevel"/>
    <w:tmpl w:val="837222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F7F2D"/>
    <w:multiLevelType w:val="multilevel"/>
    <w:tmpl w:val="6436D4C4"/>
    <w:lvl w:ilvl="0">
      <w:start w:val="4"/>
      <w:numFmt w:val="decimal"/>
      <w:lvlText w:val="5,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DB3598"/>
    <w:multiLevelType w:val="multilevel"/>
    <w:tmpl w:val="B2E0DC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EB1B26"/>
    <w:multiLevelType w:val="multilevel"/>
    <w:tmpl w:val="87F07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CF44F7"/>
    <w:multiLevelType w:val="hybridMultilevel"/>
    <w:tmpl w:val="11007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434E3"/>
    <w:multiLevelType w:val="multilevel"/>
    <w:tmpl w:val="2C16C0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834C63"/>
    <w:multiLevelType w:val="multilevel"/>
    <w:tmpl w:val="76087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2557CC"/>
    <w:multiLevelType w:val="multilevel"/>
    <w:tmpl w:val="C9543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6961B8"/>
    <w:multiLevelType w:val="multilevel"/>
    <w:tmpl w:val="4284468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FD79DD"/>
    <w:multiLevelType w:val="multilevel"/>
    <w:tmpl w:val="F18C113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F9663D"/>
    <w:multiLevelType w:val="hybridMultilevel"/>
    <w:tmpl w:val="83E6A8EE"/>
    <w:lvl w:ilvl="0" w:tplc="610090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F29BA"/>
    <w:multiLevelType w:val="multilevel"/>
    <w:tmpl w:val="C07833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1"/>
  </w:num>
  <w:num w:numId="5">
    <w:abstractNumId w:val="2"/>
  </w:num>
  <w:num w:numId="6">
    <w:abstractNumId w:val="15"/>
  </w:num>
  <w:num w:numId="7">
    <w:abstractNumId w:val="23"/>
  </w:num>
  <w:num w:numId="8">
    <w:abstractNumId w:val="16"/>
  </w:num>
  <w:num w:numId="9">
    <w:abstractNumId w:val="22"/>
  </w:num>
  <w:num w:numId="10">
    <w:abstractNumId w:val="1"/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13"/>
  </w:num>
  <w:num w:numId="16">
    <w:abstractNumId w:val="4"/>
  </w:num>
  <w:num w:numId="17">
    <w:abstractNumId w:val="6"/>
  </w:num>
  <w:num w:numId="18">
    <w:abstractNumId w:val="19"/>
  </w:num>
  <w:num w:numId="19">
    <w:abstractNumId w:val="25"/>
  </w:num>
  <w:num w:numId="20">
    <w:abstractNumId w:val="3"/>
  </w:num>
  <w:num w:numId="21">
    <w:abstractNumId w:val="20"/>
  </w:num>
  <w:num w:numId="22">
    <w:abstractNumId w:val="10"/>
  </w:num>
  <w:num w:numId="23">
    <w:abstractNumId w:val="24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3"/>
    <w:rsid w:val="00020301"/>
    <w:rsid w:val="00065BA8"/>
    <w:rsid w:val="0008339F"/>
    <w:rsid w:val="00087906"/>
    <w:rsid w:val="000A6F59"/>
    <w:rsid w:val="000D1A62"/>
    <w:rsid w:val="0010663D"/>
    <w:rsid w:val="00110B48"/>
    <w:rsid w:val="001208D8"/>
    <w:rsid w:val="00151D8D"/>
    <w:rsid w:val="00190836"/>
    <w:rsid w:val="00191D51"/>
    <w:rsid w:val="001B0DA7"/>
    <w:rsid w:val="001F5494"/>
    <w:rsid w:val="00256E5D"/>
    <w:rsid w:val="0027739F"/>
    <w:rsid w:val="002B237C"/>
    <w:rsid w:val="002B6476"/>
    <w:rsid w:val="002F4977"/>
    <w:rsid w:val="00305425"/>
    <w:rsid w:val="00315E4A"/>
    <w:rsid w:val="00320D12"/>
    <w:rsid w:val="00325B5B"/>
    <w:rsid w:val="003464EB"/>
    <w:rsid w:val="00374EA9"/>
    <w:rsid w:val="003975E0"/>
    <w:rsid w:val="003E55AB"/>
    <w:rsid w:val="003F4BA6"/>
    <w:rsid w:val="00411CBD"/>
    <w:rsid w:val="00420084"/>
    <w:rsid w:val="0042792E"/>
    <w:rsid w:val="004661CE"/>
    <w:rsid w:val="00490CD5"/>
    <w:rsid w:val="004D6A51"/>
    <w:rsid w:val="0050719E"/>
    <w:rsid w:val="005100B3"/>
    <w:rsid w:val="00513710"/>
    <w:rsid w:val="00537F69"/>
    <w:rsid w:val="00552BD4"/>
    <w:rsid w:val="00555E8D"/>
    <w:rsid w:val="00574987"/>
    <w:rsid w:val="005A5CE2"/>
    <w:rsid w:val="005E02FA"/>
    <w:rsid w:val="005E5026"/>
    <w:rsid w:val="005E50BF"/>
    <w:rsid w:val="006407B0"/>
    <w:rsid w:val="00692BD9"/>
    <w:rsid w:val="00754441"/>
    <w:rsid w:val="00774DF2"/>
    <w:rsid w:val="007C2452"/>
    <w:rsid w:val="007F4544"/>
    <w:rsid w:val="007F56C2"/>
    <w:rsid w:val="00805803"/>
    <w:rsid w:val="00823FE9"/>
    <w:rsid w:val="00852B25"/>
    <w:rsid w:val="0085525B"/>
    <w:rsid w:val="00883A03"/>
    <w:rsid w:val="0089325C"/>
    <w:rsid w:val="008A4C9C"/>
    <w:rsid w:val="008B4069"/>
    <w:rsid w:val="008B62C0"/>
    <w:rsid w:val="008F01DA"/>
    <w:rsid w:val="008F0FCE"/>
    <w:rsid w:val="00923CD2"/>
    <w:rsid w:val="0095230C"/>
    <w:rsid w:val="009A290E"/>
    <w:rsid w:val="009D3C6B"/>
    <w:rsid w:val="009D6BEF"/>
    <w:rsid w:val="009F6650"/>
    <w:rsid w:val="00A23648"/>
    <w:rsid w:val="00A37AFE"/>
    <w:rsid w:val="00A5499D"/>
    <w:rsid w:val="00A54F92"/>
    <w:rsid w:val="00A55E46"/>
    <w:rsid w:val="00A7173C"/>
    <w:rsid w:val="00A86E9F"/>
    <w:rsid w:val="00AD7B62"/>
    <w:rsid w:val="00AF1708"/>
    <w:rsid w:val="00B01022"/>
    <w:rsid w:val="00B718E4"/>
    <w:rsid w:val="00BA4644"/>
    <w:rsid w:val="00BA547E"/>
    <w:rsid w:val="00BB1553"/>
    <w:rsid w:val="00BB548D"/>
    <w:rsid w:val="00BC209F"/>
    <w:rsid w:val="00BE647D"/>
    <w:rsid w:val="00BF244C"/>
    <w:rsid w:val="00C03138"/>
    <w:rsid w:val="00C31FBF"/>
    <w:rsid w:val="00C32806"/>
    <w:rsid w:val="00C572BB"/>
    <w:rsid w:val="00C677D9"/>
    <w:rsid w:val="00CC6543"/>
    <w:rsid w:val="00CD178E"/>
    <w:rsid w:val="00CE00A2"/>
    <w:rsid w:val="00CE486D"/>
    <w:rsid w:val="00D562FD"/>
    <w:rsid w:val="00D730C9"/>
    <w:rsid w:val="00DB2072"/>
    <w:rsid w:val="00DC3C74"/>
    <w:rsid w:val="00DD7895"/>
    <w:rsid w:val="00DE5F65"/>
    <w:rsid w:val="00E00CD3"/>
    <w:rsid w:val="00E52C73"/>
    <w:rsid w:val="00E60221"/>
    <w:rsid w:val="00E841B7"/>
    <w:rsid w:val="00EB7999"/>
    <w:rsid w:val="00F32BFC"/>
    <w:rsid w:val="00FA1214"/>
    <w:rsid w:val="00FC00F0"/>
    <w:rsid w:val="00FD04F9"/>
    <w:rsid w:val="00FE48C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3D04C5"/>
  <w15:docId w15:val="{25250960-7C71-4DAF-90AE-86EF1CC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ен текст (7)_"/>
    <w:basedOn w:val="a0"/>
    <w:link w:val="70"/>
    <w:rsid w:val="002B2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2B237C"/>
    <w:pPr>
      <w:widowControl w:val="0"/>
      <w:shd w:val="clear" w:color="auto" w:fill="FFFFFF"/>
      <w:spacing w:before="1140" w:after="1380" w:line="5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ен текст (7)"/>
    <w:basedOn w:val="a"/>
    <w:link w:val="7"/>
    <w:rsid w:val="002B237C"/>
    <w:pPr>
      <w:widowControl w:val="0"/>
      <w:shd w:val="clear" w:color="auto" w:fill="FFFFFF"/>
      <w:spacing w:before="5100"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Заглавие #4_"/>
    <w:basedOn w:val="a0"/>
    <w:link w:val="4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ArialNarrow11pt">
    <w:name w:val="Основен текст (7) + Arial Narrow;11 pt;Курсив"/>
    <w:basedOn w:val="7"/>
    <w:rsid w:val="002B237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40">
    <w:name w:val="Заглавие #4"/>
    <w:basedOn w:val="a"/>
    <w:link w:val="4"/>
    <w:rsid w:val="002B237C"/>
    <w:pPr>
      <w:widowControl w:val="0"/>
      <w:shd w:val="clear" w:color="auto" w:fill="FFFFFF"/>
      <w:spacing w:before="600" w:after="1080" w:line="277" w:lineRule="exact"/>
      <w:ind w:hanging="1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ен текст (24)_"/>
    <w:basedOn w:val="a0"/>
    <w:link w:val="240"/>
    <w:rsid w:val="002B23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115pt">
    <w:name w:val="Основен текст (24) + 11.5 pt;Не е курсив"/>
    <w:basedOn w:val="24"/>
    <w:rsid w:val="002B2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40">
    <w:name w:val="Основен текст (24)"/>
    <w:basedOn w:val="a"/>
    <w:link w:val="24"/>
    <w:rsid w:val="002B237C"/>
    <w:pPr>
      <w:widowControl w:val="0"/>
      <w:shd w:val="clear" w:color="auto" w:fill="FFFFFF"/>
      <w:spacing w:before="360" w:after="0" w:line="277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Georgia9pt">
    <w:name w:val="Основен текст (2) + Georgia;9 pt;Удебелен"/>
    <w:basedOn w:val="a0"/>
    <w:rsid w:val="00191D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styleId="a3">
    <w:name w:val="List Paragraph"/>
    <w:basedOn w:val="a"/>
    <w:uiPriority w:val="34"/>
    <w:qFormat/>
    <w:rsid w:val="00151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C3C74"/>
  </w:style>
  <w:style w:type="paragraph" w:styleId="a6">
    <w:name w:val="footer"/>
    <w:basedOn w:val="a"/>
    <w:link w:val="a7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C3C74"/>
  </w:style>
  <w:style w:type="paragraph" w:styleId="a8">
    <w:name w:val="Balloon Text"/>
    <w:basedOn w:val="a"/>
    <w:link w:val="a9"/>
    <w:uiPriority w:val="99"/>
    <w:semiHidden/>
    <w:unhideWhenUsed/>
    <w:rsid w:val="001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08D8"/>
    <w:rPr>
      <w:rFonts w:ascii="Tahoma" w:hAnsi="Tahoma" w:cs="Tahoma"/>
      <w:sz w:val="16"/>
      <w:szCs w:val="16"/>
    </w:rPr>
  </w:style>
  <w:style w:type="character" w:customStyle="1" w:styleId="search3">
    <w:name w:val="search3"/>
    <w:basedOn w:val="a0"/>
    <w:rsid w:val="00DD7895"/>
  </w:style>
  <w:style w:type="character" w:customStyle="1" w:styleId="search1">
    <w:name w:val="search1"/>
    <w:basedOn w:val="a0"/>
    <w:rsid w:val="00DD7895"/>
  </w:style>
  <w:style w:type="character" w:styleId="aa">
    <w:name w:val="Hyperlink"/>
    <w:basedOn w:val="a0"/>
    <w:uiPriority w:val="99"/>
    <w:semiHidden/>
    <w:unhideWhenUsed/>
    <w:rsid w:val="00DD7895"/>
    <w:rPr>
      <w:color w:val="0000FF"/>
      <w:u w:val="single"/>
    </w:rPr>
  </w:style>
  <w:style w:type="character" w:customStyle="1" w:styleId="search4">
    <w:name w:val="search4"/>
    <w:basedOn w:val="a0"/>
    <w:rsid w:val="00DD7895"/>
  </w:style>
  <w:style w:type="character" w:customStyle="1" w:styleId="search2">
    <w:name w:val="search2"/>
    <w:basedOn w:val="a0"/>
    <w:rsid w:val="00DD7895"/>
  </w:style>
  <w:style w:type="character" w:styleId="ab">
    <w:name w:val="annotation reference"/>
    <w:basedOn w:val="a0"/>
    <w:uiPriority w:val="99"/>
    <w:semiHidden/>
    <w:unhideWhenUsed/>
    <w:rsid w:val="007F45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54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7F45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544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7F4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EE8D-D3C8-4797-A98C-CDDF982F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2927</Words>
  <Characters>16686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Потребител на Windows</cp:lastModifiedBy>
  <cp:revision>4</cp:revision>
  <dcterms:created xsi:type="dcterms:W3CDTF">2020-02-11T12:47:00Z</dcterms:created>
  <dcterms:modified xsi:type="dcterms:W3CDTF">2020-02-27T06:52:00Z</dcterms:modified>
</cp:coreProperties>
</file>